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026" w:type="dxa"/>
        <w:jc w:val="start"/>
        <w:tblInd w:w="0" w:type="dxa"/>
        <w:tblLayout w:type="fixed"/>
        <w:tblCellMar>
          <w:top w:w="260" w:type="dxa"/>
          <w:start w:w="200" w:type="dxa"/>
          <w:bottom w:w="260" w:type="dxa"/>
          <w:end w:w="108" w:type="dxa"/>
        </w:tblCellMar>
        <w:tblLook w:val="0000"/>
      </w:tblPr>
      <w:tblGrid>
        <w:gridCol w:w="5580"/>
        <w:gridCol w:w="3446"/>
      </w:tblGrid>
      <w:tr>
        <w:trPr/>
        <w:tc>
          <w:tcPr>
            <w:tcW w:w="5580" w:type="dxa"/>
            <w:tcBorders>
              <w:bottom w:val="single" w:sz="24" w:space="0" w:color="2563EB"/>
            </w:tcBorders>
            <w:shd w:color="auto" w:fill="0F172A" w:val="clear"/>
            <w:vAlign w:val="center"/>
          </w:tcPr>
          <w:p>
            <w:pPr>
              <w:pStyle w:val="normal1"/>
              <w:spacing w:before="0" w:after="60"/>
              <w:jc w:val="start"/>
              <w:rPr/>
            </w:pPr>
            <w:r>
              <w:rPr>
                <w:b/>
                <w:bCs/>
                <w:color w:val="FFFFFF"/>
                <w:sz w:val="40"/>
                <w:szCs w:val="40"/>
              </w:rPr>
              <w:t>Executive Report: TourGuideLite</w:t>
            </w:r>
          </w:p>
          <w:p>
            <w:pPr>
              <w:pStyle w:val="normal1"/>
              <w:spacing w:before="0" w:after="0"/>
              <w:jc w:val="start"/>
              <w:rPr>
                <w:i/>
                <w:iCs/>
                <w:color w:val="94A3B8"/>
                <w:sz w:val="22"/>
                <w:szCs w:val="22"/>
              </w:rPr>
            </w:pPr>
            <w:r>
              <w:rPr>
                <w:i/>
                <w:iCs/>
                <w:color w:val="94A3B8"/>
                <w:sz w:val="22"/>
                <w:szCs w:val="22"/>
              </w:rPr>
              <w:t xml:space="preserve">No radios. No guest app. No subscription. </w:t>
            </w:r>
          </w:p>
          <w:p>
            <w:pPr>
              <w:pStyle w:val="normal1"/>
              <w:spacing w:before="0" w:after="0"/>
              <w:jc w:val="start"/>
              <w:rPr>
                <w:i/>
                <w:iCs/>
                <w:color w:val="94A3B8"/>
                <w:sz w:val="22"/>
                <w:szCs w:val="22"/>
              </w:rPr>
            </w:pPr>
            <w:r>
              <w:rPr>
                <w:i/>
                <w:iCs/>
                <w:color w:val="94A3B8"/>
                <w:sz w:val="22"/>
                <w:szCs w:val="22"/>
              </w:rPr>
              <w:t>Next-Generation Live Audio for Tour Operators</w:t>
            </w:r>
          </w:p>
        </w:tc>
        <w:tc>
          <w:tcPr>
            <w:tcW w:w="3446" w:type="dxa"/>
            <w:tcBorders>
              <w:bottom w:val="single" w:sz="24" w:space="0" w:color="2563EB"/>
            </w:tcBorders>
            <w:shd w:color="auto" w:fill="0F172A" w:val="clear"/>
            <w:tcMar>
              <w:start w:w="108" w:type="dxa"/>
              <w:end w:w="200" w:type="dxa"/>
            </w:tcMar>
            <w:vAlign w:val="center"/>
          </w:tcPr>
          <w:p>
            <w:pPr>
              <w:pStyle w:val="normal1"/>
              <w:jc w:val="end"/>
              <w:rPr>
                <w:b/>
                <w:bCs/>
                <w:color w:val="38BDF8"/>
                <w:sz w:val="19"/>
                <w:szCs w:val="19"/>
              </w:rPr>
            </w:pPr>
            <w:r>
              <w:rPr>
                <w:b/>
                <w:bCs/>
                <w:color w:val="38BDF8"/>
                <w:sz w:val="19"/>
                <w:szCs w:val="19"/>
              </w:rPr>
              <w:drawing>
                <wp:anchor distT="0" distB="0" distL="0" distR="0" simplePos="0" relativeHeight="2" behindDoc="0" locked="0" layoutInCell="0" allowOverlap="1">
                  <wp:simplePos x="0" y="0"/>
                  <wp:positionH relativeFrom="column">
                    <wp:posOffset>732790</wp:posOffset>
                  </wp:positionH>
                  <wp:positionV relativeFrom="paragraph">
                    <wp:posOffset>47625</wp:posOffset>
                  </wp:positionV>
                  <wp:extent cx="608965" cy="608965"/>
                  <wp:effectExtent l="0" t="0" r="0" b="0"/>
                  <wp:wrapSquare wrapText="largest"/>
                  <wp:docPr id="1" name="Imat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t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965" cy="608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1"/>
              <w:jc w:val="end"/>
              <w:rPr>
                <w:b/>
                <w:bCs/>
                <w:color w:val="38BDF8"/>
                <w:sz w:val="19"/>
                <w:szCs w:val="19"/>
              </w:rPr>
            </w:pPr>
            <w:r>
              <w:rPr>
                <w:b/>
                <w:bCs/>
                <w:color w:val="38BDF8"/>
                <w:sz w:val="19"/>
                <w:szCs w:val="19"/>
              </w:rPr>
            </w:r>
          </w:p>
          <w:p>
            <w:pPr>
              <w:pStyle w:val="normal1"/>
              <w:jc w:val="end"/>
              <w:rPr>
                <w:b/>
                <w:bCs/>
                <w:color w:val="38BDF8"/>
                <w:sz w:val="19"/>
                <w:szCs w:val="19"/>
              </w:rPr>
            </w:pPr>
            <w:r>
              <w:rPr>
                <w:b/>
                <w:bCs/>
                <w:color w:val="38BDF8"/>
                <w:sz w:val="19"/>
                <w:szCs w:val="19"/>
              </w:rPr>
            </w:r>
          </w:p>
          <w:p>
            <w:pPr>
              <w:pStyle w:val="normal1"/>
              <w:jc w:val="end"/>
              <w:rPr>
                <w:b/>
                <w:bCs/>
                <w:color w:val="38BDF8"/>
                <w:sz w:val="19"/>
                <w:szCs w:val="19"/>
              </w:rPr>
            </w:pPr>
            <w:r>
              <w:rPr>
                <w:b/>
                <w:bCs/>
                <w:color w:val="38BDF8"/>
                <w:sz w:val="19"/>
                <w:szCs w:val="19"/>
              </w:rPr>
            </w:r>
          </w:p>
          <w:p>
            <w:pPr>
              <w:pStyle w:val="normal1"/>
              <w:jc w:val="end"/>
              <w:rPr>
                <w:b/>
                <w:bCs/>
                <w:color w:val="38BDF8"/>
                <w:sz w:val="19"/>
                <w:szCs w:val="19"/>
              </w:rPr>
            </w:pPr>
            <w:r>
              <w:rPr>
                <w:b/>
                <w:bCs/>
                <w:color w:val="38BDF8"/>
                <w:sz w:val="19"/>
                <w:szCs w:val="19"/>
              </w:rPr>
            </w:r>
          </w:p>
          <w:p>
            <w:pPr>
              <w:pStyle w:val="normal1"/>
              <w:jc w:val="end"/>
              <w:rPr>
                <w:b/>
                <w:bCs/>
                <w:color w:val="38BDF8"/>
                <w:sz w:val="19"/>
                <w:szCs w:val="19"/>
              </w:rPr>
            </w:pPr>
            <w:r>
              <w:rPr>
                <w:b/>
                <w:bCs/>
                <w:color w:val="38BDF8"/>
                <w:sz w:val="19"/>
                <w:szCs w:val="19"/>
              </w:rPr>
              <w:t>tourguidelite.wificlashroom.online</w:t>
            </w:r>
          </w:p>
        </w:tc>
      </w:tr>
    </w:tbl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tbl>
      <w:tblPr>
        <w:tblW w:w="9026" w:type="dxa"/>
        <w:jc w:val="start"/>
        <w:tblInd w:w="0" w:type="dxa"/>
        <w:tblLayout w:type="fixed"/>
        <w:tblCellMar>
          <w:top w:w="110" w:type="dxa"/>
          <w:start w:w="160" w:type="dxa"/>
          <w:bottom w:w="110" w:type="dxa"/>
          <w:end w:w="108" w:type="dxa"/>
        </w:tblCellMar>
        <w:tblLook w:val="0000"/>
      </w:tblPr>
      <w:tblGrid>
        <w:gridCol w:w="9026"/>
      </w:tblGrid>
      <w:tr>
        <w:trPr/>
        <w:tc>
          <w:tcPr>
            <w:tcW w:w="9026" w:type="dxa"/>
            <w:tcBorders>
              <w:bottom w:val="single" w:sz="16" w:space="0" w:color="2563EB"/>
            </w:tcBorders>
            <w:shd w:color="auto" w:fill="F1F5F9" w:val="clear"/>
            <w:vAlign w:val="center"/>
          </w:tcPr>
          <w:p>
            <w:pPr>
              <w:pStyle w:val="normal1"/>
              <w:spacing w:before="0" w:after="0"/>
              <w:jc w:val="start"/>
              <w:rPr/>
            </w:pPr>
            <w:r>
              <w:rPr>
                <w:b/>
                <w:bCs/>
                <w:color w:val="0F172A"/>
                <w:sz w:val="24"/>
                <w:szCs w:val="24"/>
              </w:rPr>
              <w:t>1. Strategic Overview and Value Proposition</w:t>
            </w:r>
          </w:p>
        </w:tc>
      </w:tr>
    </w:tbl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p>
      <w:pPr>
        <w:pStyle w:val="normal1"/>
        <w:rPr/>
      </w:pPr>
      <w:r>
        <w:rPr/>
        <w:t xml:space="preserve">TourGuideLite, a flagship solution under the WiFiClashroom umbrella, represents a paradigm shift in tour management by transitioning from hardware-dependent logistics to a software-defined service model. Its mission is to eliminate the high Total Cost of Ownership (TCO) associated with traditional radio equipment through a "Just guide" philosophy.By adhering to the mantra  </w:t>
      </w:r>
      <w:r>
        <w:rPr>
          <w:b/>
          <w:bCs/>
        </w:rPr>
        <w:t>"No radios. No guest app. No subscription,"</w:t>
      </w:r>
      <w:r>
        <w:rPr/>
        <w:t xml:space="preserve">  the platform allows operators to move from a Capital Expenditure (CapEx) model—characterized by heavy upfront investment in physical receivers—to a highly flexible Operational Expenditure (OpEx) model. This modernization removes the logistics bottlenecks of equipment distribution and maintenance, enabling tour managers to focus exclusively on content delivery.</w:t>
      </w:r>
    </w:p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tbl>
      <w:tblPr>
        <w:tblW w:w="9026" w:type="dxa"/>
        <w:jc w:val="start"/>
        <w:tblInd w:w="0" w:type="dxa"/>
        <w:tblLayout w:type="fixed"/>
        <w:tblCellMar>
          <w:top w:w="110" w:type="dxa"/>
          <w:start w:w="160" w:type="dxa"/>
          <w:bottom w:w="110" w:type="dxa"/>
          <w:end w:w="108" w:type="dxa"/>
        </w:tblCellMar>
        <w:tblLook w:val="0000"/>
      </w:tblPr>
      <w:tblGrid>
        <w:gridCol w:w="9026"/>
      </w:tblGrid>
      <w:tr>
        <w:trPr/>
        <w:tc>
          <w:tcPr>
            <w:tcW w:w="9026" w:type="dxa"/>
            <w:tcBorders>
              <w:bottom w:val="single" w:sz="16" w:space="0" w:color="2563EB"/>
            </w:tcBorders>
            <w:shd w:color="auto" w:fill="F1F5F9" w:val="clear"/>
            <w:vAlign w:val="center"/>
          </w:tcPr>
          <w:p>
            <w:pPr>
              <w:pStyle w:val="normal1"/>
              <w:spacing w:before="0" w:after="0"/>
              <w:jc w:val="start"/>
              <w:rPr/>
            </w:pPr>
            <w:r>
              <w:rPr>
                <w:b/>
                <w:bCs/>
                <w:color w:val="0F172A"/>
                <w:sz w:val="24"/>
                <w:szCs w:val="24"/>
              </w:rPr>
              <w:t>2. Operational Comparison: Traditional Radios vs. TourGuideLite</w:t>
            </w:r>
          </w:p>
        </w:tc>
      </w:tr>
    </w:tbl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tbl>
      <w:tblPr>
        <w:tblW w:w="902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799"/>
        <w:gridCol w:w="3601"/>
        <w:gridCol w:w="3626"/>
      </w:tblGrid>
      <w:tr>
        <w:trPr/>
        <w:tc>
          <w:tcPr>
            <w:tcW w:w="17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color="auto" w:fill="F1F5F9" w:val="clear"/>
            <w:vAlign w:val="center"/>
          </w:tcPr>
          <w:p>
            <w:pPr>
              <w:pStyle w:val="normal1"/>
              <w:rPr>
                <w:b/>
                <w:bCs/>
                <w:color w:val="0F172A"/>
              </w:rPr>
            </w:pPr>
            <w:r>
              <w:rPr>
                <w:b/>
                <w:bCs/>
                <w:color w:val="0F172A"/>
              </w:rPr>
              <w:t>Feature</w:t>
            </w:r>
          </w:p>
        </w:tc>
        <w:tc>
          <w:tcPr>
            <w:tcW w:w="36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color="auto" w:fill="F1F5F9" w:val="clear"/>
            <w:vAlign w:val="center"/>
          </w:tcPr>
          <w:p>
            <w:pPr>
              <w:pStyle w:val="normal1"/>
              <w:rPr>
                <w:b/>
                <w:bCs/>
                <w:color w:val="0F172A"/>
              </w:rPr>
            </w:pPr>
            <w:r>
              <w:rPr>
                <w:b/>
                <w:bCs/>
                <w:color w:val="0F172A"/>
              </w:rPr>
              <w:t>Traditional Tour Radios</w:t>
            </w:r>
          </w:p>
        </w:tc>
        <w:tc>
          <w:tcPr>
            <w:tcW w:w="3626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color="auto" w:fill="F1F5F9" w:val="clear"/>
            <w:vAlign w:val="center"/>
          </w:tcPr>
          <w:p>
            <w:pPr>
              <w:pStyle w:val="normal1"/>
              <w:rPr>
                <w:b/>
                <w:bCs/>
                <w:color w:val="0F172A"/>
              </w:rPr>
            </w:pPr>
            <w:r>
              <w:rPr>
                <w:b/>
                <w:bCs/>
                <w:color w:val="0F172A"/>
              </w:rPr>
              <w:t>TourGuideLite Platform</w:t>
            </w:r>
          </w:p>
        </w:tc>
      </w:tr>
      <w:tr>
        <w:trPr/>
        <w:tc>
          <w:tcPr>
            <w:tcW w:w="17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Primary Equipment</w:t>
            </w:r>
          </w:p>
        </w:tc>
        <w:tc>
          <w:tcPr>
            <w:tcW w:w="36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Physical proprietary receivers and headsets provided by operator.</w:t>
            </w:r>
          </w:p>
        </w:tc>
        <w:tc>
          <w:tcPr>
            <w:tcW w:w="3626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Bring Your Own Device (BYOD): Guests use their own smartphones and earbuds.</w:t>
            </w:r>
          </w:p>
        </w:tc>
      </w:tr>
      <w:tr>
        <w:trPr/>
        <w:tc>
          <w:tcPr>
            <w:tcW w:w="17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Maintenance</w:t>
            </w:r>
          </w:p>
        </w:tc>
        <w:tc>
          <w:tcPr>
            <w:tcW w:w="36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Continuous charging, sanitizing, and physical storage requirements.</w:t>
            </w:r>
          </w:p>
        </w:tc>
        <w:tc>
          <w:tcPr>
            <w:tcW w:w="3626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Zero hardware overhead; maintenance is offloaded to the guest's device.</w:t>
            </w:r>
          </w:p>
        </w:tc>
      </w:tr>
      <w:tr>
        <w:trPr/>
        <w:tc>
          <w:tcPr>
            <w:tcW w:w="17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Access &amp; Setup</w:t>
            </w:r>
          </w:p>
        </w:tc>
        <w:tc>
          <w:tcPr>
            <w:tcW w:w="36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Manual frequency pairing; prone to interference and signal drift.</w:t>
            </w:r>
          </w:p>
        </w:tc>
        <w:tc>
          <w:tcPr>
            <w:tcW w:w="3626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Frictionless access via rapid QR code scanning or direct link.</w:t>
            </w:r>
          </w:p>
        </w:tc>
      </w:tr>
      <w:tr>
        <w:trPr/>
        <w:tc>
          <w:tcPr>
            <w:tcW w:w="17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Software Requirements</w:t>
            </w:r>
          </w:p>
        </w:tc>
        <w:tc>
          <w:tcPr>
            <w:tcW w:w="36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Proprietary internal hardware firmware.</w:t>
            </w:r>
          </w:p>
        </w:tc>
        <w:tc>
          <w:tcPr>
            <w:tcW w:w="3626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Universal compatibility via modern mobile browsers (no app installation).</w:t>
            </w:r>
          </w:p>
        </w:tc>
      </w:tr>
      <w:tr>
        <w:trPr/>
        <w:tc>
          <w:tcPr>
            <w:tcW w:w="17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Logistics</w:t>
            </w:r>
          </w:p>
        </w:tc>
        <w:tc>
          <w:tcPr>
            <w:tcW w:w="36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Labor-intensive distribution and collection at every tour milestone.</w:t>
            </w:r>
          </w:p>
        </w:tc>
        <w:tc>
          <w:tcPr>
            <w:tcW w:w="3626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100% digital onboarding; eliminates "lost or stolen" equipment risks.</w:t>
            </w:r>
          </w:p>
        </w:tc>
      </w:tr>
      <w:tr>
        <w:trPr/>
        <w:tc>
          <w:tcPr>
            <w:tcW w:w="17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Scalability</w:t>
            </w:r>
          </w:p>
        </w:tc>
        <w:tc>
          <w:tcPr>
            <w:tcW w:w="36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Rigidly limited by physical inventory on hand.</w:t>
            </w:r>
          </w:p>
        </w:tc>
        <w:tc>
          <w:tcPr>
            <w:tcW w:w="3626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Virtually unlimited; scales instantly to group size based on data/credits.</w:t>
            </w:r>
          </w:p>
        </w:tc>
      </w:tr>
    </w:tbl>
    <w:p>
      <w:pPr>
        <w:pStyle w:val="normal1"/>
        <w:rPr/>
      </w:pPr>
      <w:r>
        <w:rPr/>
      </w:r>
    </w:p>
    <w:p>
      <w:pPr>
        <w:pStyle w:val="normal1"/>
        <w:spacing w:before="0" w:after="0"/>
        <w:rPr>
          <w:sz w:val="8"/>
        </w:rPr>
      </w:pPr>
      <w:r>
        <w:rPr>
          <w:sz w:val="8"/>
        </w:rPr>
      </w:r>
      <w:r>
        <w:br w:type="page"/>
      </w:r>
    </w:p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tbl>
      <w:tblPr>
        <w:tblW w:w="9026" w:type="dxa"/>
        <w:jc w:val="start"/>
        <w:tblInd w:w="0" w:type="dxa"/>
        <w:tblLayout w:type="fixed"/>
        <w:tblCellMar>
          <w:top w:w="110" w:type="dxa"/>
          <w:start w:w="160" w:type="dxa"/>
          <w:bottom w:w="110" w:type="dxa"/>
          <w:end w:w="108" w:type="dxa"/>
        </w:tblCellMar>
        <w:tblLook w:val="0000"/>
      </w:tblPr>
      <w:tblGrid>
        <w:gridCol w:w="9026"/>
      </w:tblGrid>
      <w:tr>
        <w:trPr/>
        <w:tc>
          <w:tcPr>
            <w:tcW w:w="9026" w:type="dxa"/>
            <w:tcBorders>
              <w:bottom w:val="single" w:sz="16" w:space="0" w:color="2563EB"/>
            </w:tcBorders>
            <w:shd w:color="auto" w:fill="F1F5F9" w:val="clear"/>
            <w:vAlign w:val="center"/>
          </w:tcPr>
          <w:p>
            <w:pPr>
              <w:pStyle w:val="normal1"/>
              <w:spacing w:before="0" w:after="0"/>
              <w:jc w:val="start"/>
              <w:rPr/>
            </w:pPr>
            <w:r>
              <w:rPr>
                <w:b/>
                <w:bCs/>
                <w:color w:val="0F172A"/>
                <w:sz w:val="24"/>
                <w:szCs w:val="24"/>
              </w:rPr>
              <w:t>3. The Frictionless Guest Experience</w:t>
            </w:r>
          </w:p>
        </w:tc>
      </w:tr>
    </w:tbl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p>
      <w:pPr>
        <w:pStyle w:val="normal1"/>
        <w:rPr/>
      </w:pPr>
      <w:r>
        <w:rPr/>
        <w:t>For the guest, TourGuideLite removes the psychological and technical barriers often associated with digital tour tools.</w:t>
      </w:r>
    </w:p>
    <w:p>
      <w:pPr>
        <w:pStyle w:val="normal1"/>
        <w:numPr>
          <w:ilvl w:val="0"/>
          <w:numId w:val="4"/>
        </w:numPr>
        <w:ind w:hanging="360" w:start="720"/>
        <w:rPr>
          <w:u w:val="none"/>
        </w:rPr>
      </w:pPr>
      <w:r>
        <w:rPr>
          <w:b/>
          <w:bCs/>
        </w:rPr>
        <w:t>Zero-Installation Barrier:</w:t>
      </w:r>
      <w:r>
        <w:rPr/>
        <w:t xml:space="preserve">  Guests are not required to download apps, bypassing App Store friction and data concerns.</w:t>
      </w:r>
    </w:p>
    <w:p>
      <w:pPr>
        <w:pStyle w:val="normal1"/>
        <w:numPr>
          <w:ilvl w:val="0"/>
          <w:numId w:val="4"/>
        </w:numPr>
        <w:ind w:hanging="360" w:start="720"/>
        <w:rPr>
          <w:u w:val="none"/>
        </w:rPr>
      </w:pPr>
      <w:r>
        <w:rPr>
          <w:b/>
          <w:bCs/>
        </w:rPr>
        <w:t>Privacy-First Onboarding:</w:t>
      </w:r>
      <w:r>
        <w:rPr/>
        <w:t xml:space="preserve">  No account creation or registration is required, protecting guest data and speeding up tour commencement.</w:t>
      </w:r>
    </w:p>
    <w:p>
      <w:pPr>
        <w:pStyle w:val="normal1"/>
        <w:numPr>
          <w:ilvl w:val="0"/>
          <w:numId w:val="4"/>
        </w:numPr>
        <w:ind w:hanging="360" w:start="720"/>
        <w:rPr>
          <w:u w:val="none"/>
        </w:rPr>
      </w:pPr>
      <w:r>
        <w:rPr>
          <w:b/>
          <w:bCs/>
        </w:rPr>
        <w:t>Instantaneous Connection:</w:t>
      </w:r>
      <w:r>
        <w:rPr/>
        <w:t xml:space="preserve">  A simple QR scan connects the guest to the live stream in seconds.</w:t>
      </w:r>
    </w:p>
    <w:p>
      <w:pPr>
        <w:pStyle w:val="normal1"/>
        <w:numPr>
          <w:ilvl w:val="0"/>
          <w:numId w:val="4"/>
        </w:numPr>
        <w:ind w:hanging="360" w:start="720"/>
        <w:rPr>
          <w:u w:val="none"/>
        </w:rPr>
      </w:pPr>
      <w:r>
        <w:rPr>
          <w:b/>
          <w:bCs/>
        </w:rPr>
        <w:t>Hardware Familiarity:</w:t>
      </w:r>
      <w:r>
        <w:rPr/>
        <w:t xml:space="preserve">  By using their own devices and headphones, guests experience superior comfort and audio quality compared to standard-issue rental units.</w:t>
      </w:r>
    </w:p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tbl>
      <w:tblPr>
        <w:tblW w:w="9026" w:type="dxa"/>
        <w:jc w:val="start"/>
        <w:tblInd w:w="0" w:type="dxa"/>
        <w:tblLayout w:type="fixed"/>
        <w:tblCellMar>
          <w:top w:w="110" w:type="dxa"/>
          <w:start w:w="160" w:type="dxa"/>
          <w:bottom w:w="110" w:type="dxa"/>
          <w:end w:w="108" w:type="dxa"/>
        </w:tblCellMar>
        <w:tblLook w:val="0000"/>
      </w:tblPr>
      <w:tblGrid>
        <w:gridCol w:w="9026"/>
      </w:tblGrid>
      <w:tr>
        <w:trPr/>
        <w:tc>
          <w:tcPr>
            <w:tcW w:w="9026" w:type="dxa"/>
            <w:tcBorders>
              <w:bottom w:val="single" w:sz="16" w:space="0" w:color="2563EB"/>
            </w:tcBorders>
            <w:shd w:color="auto" w:fill="F1F5F9" w:val="clear"/>
            <w:vAlign w:val="center"/>
          </w:tcPr>
          <w:p>
            <w:pPr>
              <w:pStyle w:val="normal1"/>
              <w:spacing w:before="0" w:after="0"/>
              <w:jc w:val="start"/>
              <w:rPr/>
            </w:pPr>
            <w:r>
              <w:rPr>
                <w:b/>
                <w:bCs/>
                <w:color w:val="0F172A"/>
                <w:sz w:val="24"/>
                <w:szCs w:val="24"/>
              </w:rPr>
              <w:t>4. Technical Architecture and Reliability</w:t>
            </w:r>
          </w:p>
        </w:tc>
      </w:tr>
    </w:tbl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p>
      <w:pPr>
        <w:pStyle w:val="normal1"/>
        <w:rPr/>
      </w:pPr>
      <w:r>
        <w:rPr/>
        <w:t>The platform's architecture is built on enterprise-grade web standards to ensure the highest fidelity and reliability for business-critical operations:</w:t>
      </w:r>
    </w:p>
    <w:p>
      <w:pPr>
        <w:pStyle w:val="normal1"/>
        <w:numPr>
          <w:ilvl w:val="0"/>
          <w:numId w:val="2"/>
        </w:numPr>
        <w:ind w:hanging="360" w:start="720"/>
        <w:rPr>
          <w:u w:val="none"/>
        </w:rPr>
      </w:pPr>
      <w:r>
        <w:rPr>
          <w:b/>
          <w:bCs/>
        </w:rPr>
        <w:t>WebRTC Protocol:</w:t>
      </w:r>
      <w:r>
        <w:rPr/>
        <w:t xml:space="preserve">  Delivers sub-second latency for live audio. This is critical for visual synchronization, ensuring guests hear the commentary at the exact moment they see the landmark.</w:t>
      </w:r>
    </w:p>
    <w:p>
      <w:pPr>
        <w:pStyle w:val="normal1"/>
        <w:numPr>
          <w:ilvl w:val="0"/>
          <w:numId w:val="2"/>
        </w:numPr>
        <w:ind w:hanging="360" w:start="720"/>
        <w:rPr>
          <w:u w:val="none"/>
        </w:rPr>
      </w:pPr>
      <w:r>
        <w:rPr>
          <w:b/>
          <w:bCs/>
        </w:rPr>
        <w:t>STUN/TURN Fallback:</w:t>
      </w:r>
      <w:r>
        <w:rPr/>
        <w:t xml:space="preserve">  Ensures a robust connection path even in restrictive network environments or behind complex cellular firewalls, maintaining session integrity.</w:t>
      </w:r>
    </w:p>
    <w:p>
      <w:pPr>
        <w:pStyle w:val="normal1"/>
        <w:numPr>
          <w:ilvl w:val="0"/>
          <w:numId w:val="2"/>
        </w:numPr>
        <w:ind w:hanging="360" w:start="720"/>
        <w:rPr>
          <w:u w:val="none"/>
        </w:rPr>
      </w:pPr>
      <w:r>
        <w:rPr>
          <w:b/>
          <w:bCs/>
        </w:rPr>
        <w:t>Integrated Echo Cancellation:</w:t>
      </w:r>
      <w:r>
        <w:rPr/>
        <w:t xml:space="preserve">  Mitigates feedback loops and background noise, providing professional-grade audio clarity.</w:t>
      </w:r>
    </w:p>
    <w:p>
      <w:pPr>
        <w:pStyle w:val="normal1"/>
        <w:numPr>
          <w:ilvl w:val="0"/>
          <w:numId w:val="2"/>
        </w:numPr>
        <w:ind w:hanging="360" w:start="720"/>
        <w:rPr>
          <w:u w:val="none"/>
        </w:rPr>
      </w:pPr>
      <w:r>
        <w:rPr>
          <w:b/>
          <w:bCs/>
        </w:rPr>
        <w:t>Browser-Agnostic Engine:</w:t>
      </w:r>
      <w:r>
        <w:rPr/>
        <w:t xml:space="preserve">  Engineered to work seamlessly across all modern mobile browsers without requiring specialized configuration.</w:t>
      </w:r>
    </w:p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tbl>
      <w:tblPr>
        <w:tblW w:w="9026" w:type="dxa"/>
        <w:jc w:val="start"/>
        <w:tblInd w:w="0" w:type="dxa"/>
        <w:tblLayout w:type="fixed"/>
        <w:tblCellMar>
          <w:top w:w="110" w:type="dxa"/>
          <w:start w:w="160" w:type="dxa"/>
          <w:bottom w:w="110" w:type="dxa"/>
          <w:end w:w="108" w:type="dxa"/>
        </w:tblCellMar>
        <w:tblLook w:val="0000"/>
      </w:tblPr>
      <w:tblGrid>
        <w:gridCol w:w="9026"/>
      </w:tblGrid>
      <w:tr>
        <w:trPr/>
        <w:tc>
          <w:tcPr>
            <w:tcW w:w="9026" w:type="dxa"/>
            <w:tcBorders>
              <w:bottom w:val="single" w:sz="16" w:space="0" w:color="2563EB"/>
            </w:tcBorders>
            <w:shd w:color="auto" w:fill="F1F5F9" w:val="clear"/>
            <w:vAlign w:val="center"/>
          </w:tcPr>
          <w:p>
            <w:pPr>
              <w:pStyle w:val="normal1"/>
              <w:spacing w:before="0" w:after="0"/>
              <w:jc w:val="start"/>
              <w:rPr/>
            </w:pPr>
            <w:r>
              <w:rPr>
                <w:b/>
                <w:bCs/>
                <w:color w:val="0F172A"/>
                <w:sz w:val="24"/>
                <w:szCs w:val="24"/>
              </w:rPr>
              <w:t>5. Tour Manager Functionality</w:t>
            </w:r>
          </w:p>
        </w:tc>
      </w:tr>
    </w:tbl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p>
      <w:pPr>
        <w:pStyle w:val="normal1"/>
        <w:rPr/>
      </w:pPr>
      <w:r>
        <w:rPr/>
        <w:t>TourGuideLite provides operators with precise administrative oversight through a centralized dashboard:</w:t>
      </w:r>
    </w:p>
    <w:p>
      <w:pPr>
        <w:pStyle w:val="normal1"/>
        <w:numPr>
          <w:ilvl w:val="0"/>
          <w:numId w:val="1"/>
        </w:numPr>
        <w:ind w:hanging="360" w:start="720"/>
        <w:rPr>
          <w:u w:val="none"/>
        </w:rPr>
      </w:pPr>
      <w:r>
        <w:rPr>
          <w:b/>
          <w:bCs/>
        </w:rPr>
        <w:t>Live Listener Count:</w:t>
      </w:r>
      <w:r>
        <w:rPr/>
        <w:t xml:space="preserve">  Provides real-time data on group attendance and connectivity status.</w:t>
      </w:r>
    </w:p>
    <w:p>
      <w:pPr>
        <w:pStyle w:val="normal1"/>
        <w:numPr>
          <w:ilvl w:val="0"/>
          <w:numId w:val="1"/>
        </w:numPr>
        <w:ind w:hanging="360" w:start="720"/>
        <w:rPr>
          <w:u w:val="none"/>
        </w:rPr>
      </w:pPr>
      <w:r>
        <w:rPr>
          <w:b/>
          <w:bCs/>
        </w:rPr>
        <w:t>Operational History:</w:t>
      </w:r>
      <w:r>
        <w:rPr/>
        <w:t xml:space="preserve">  Maintains a comprehensive log of previous sessions for auditing, performance tracking, and operational oversight.</w:t>
      </w:r>
    </w:p>
    <w:p>
      <w:pPr>
        <w:pStyle w:val="normal1"/>
        <w:numPr>
          <w:ilvl w:val="0"/>
          <w:numId w:val="1"/>
        </w:numPr>
        <w:ind w:hanging="360" w:start="720"/>
        <w:rPr>
          <w:u w:val="none"/>
        </w:rPr>
      </w:pPr>
      <w:r>
        <w:rPr>
          <w:b/>
          <w:bCs/>
        </w:rPr>
        <w:t>Google Authentication:</w:t>
      </w:r>
      <w:r>
        <w:rPr/>
        <w:t xml:space="preserve">  Streamlines security by utilizing "Sign in with Google," reducing the administrative burden of managing internal employee passwords and credentials.</w:t>
      </w:r>
    </w:p>
    <w:p>
      <w:pPr>
        <w:pStyle w:val="normal1"/>
        <w:spacing w:before="0" w:after="0"/>
        <w:rPr>
          <w:sz w:val="8"/>
        </w:rPr>
      </w:pPr>
      <w:r>
        <w:rPr>
          <w:sz w:val="8"/>
        </w:rPr>
      </w:r>
      <w:r>
        <w:br w:type="page"/>
      </w:r>
    </w:p>
    <w:tbl>
      <w:tblPr>
        <w:tblW w:w="9026" w:type="dxa"/>
        <w:jc w:val="start"/>
        <w:tblInd w:w="0" w:type="dxa"/>
        <w:tblLayout w:type="fixed"/>
        <w:tblCellMar>
          <w:top w:w="110" w:type="dxa"/>
          <w:start w:w="160" w:type="dxa"/>
          <w:bottom w:w="110" w:type="dxa"/>
          <w:end w:w="108" w:type="dxa"/>
        </w:tblCellMar>
        <w:tblLook w:val="0000"/>
      </w:tblPr>
      <w:tblGrid>
        <w:gridCol w:w="9026"/>
      </w:tblGrid>
      <w:tr>
        <w:trPr/>
        <w:tc>
          <w:tcPr>
            <w:tcW w:w="9026" w:type="dxa"/>
            <w:tcBorders>
              <w:bottom w:val="single" w:sz="16" w:space="0" w:color="2563EB"/>
            </w:tcBorders>
            <w:shd w:color="auto" w:fill="F1F5F9" w:val="clear"/>
            <w:vAlign w:val="center"/>
          </w:tcPr>
          <w:p>
            <w:pPr>
              <w:pStyle w:val="normal1"/>
              <w:pageBreakBefore/>
              <w:spacing w:before="0" w:after="0"/>
              <w:jc w:val="start"/>
              <w:rPr/>
            </w:pPr>
            <w:r>
              <w:rPr>
                <w:b/>
                <w:bCs/>
                <w:color w:val="0F172A"/>
                <w:sz w:val="24"/>
                <w:szCs w:val="24"/>
              </w:rPr>
              <w:t>6. Commercial Model: Credit-Based Pricing</w:t>
            </w:r>
          </w:p>
        </w:tc>
      </w:tr>
    </w:tbl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p>
      <w:pPr>
        <w:pStyle w:val="normal1"/>
        <w:rPr/>
      </w:pPr>
      <w:r>
        <w:rPr/>
        <w:t xml:space="preserve">TourGuideLite employs a "Pay Only When You Guide" economic model. This eliminates the "subscription trap" where operators pay for idle capacity. Credits are consumed on a per-room basis (1 Credit = 1 Live Tour Room), and  </w:t>
      </w:r>
      <w:r>
        <w:rPr>
          <w:b/>
          <w:bCs/>
        </w:rPr>
        <w:t>credits never expire</w:t>
      </w:r>
      <w:r>
        <w:rPr/>
        <w:t xml:space="preserve"> , providing permanent value for every dollar spent.</w:t>
      </w:r>
    </w:p>
    <w:p>
      <w:pPr>
        <w:pStyle w:val="normal1"/>
        <w:rPr/>
      </w:pPr>
      <w:r>
        <w:rPr/>
      </w:r>
    </w:p>
    <w:tbl>
      <w:tblPr>
        <w:tblW w:w="902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799"/>
        <w:gridCol w:w="1800"/>
        <w:gridCol w:w="1801"/>
        <w:gridCol w:w="3626"/>
      </w:tblGrid>
      <w:tr>
        <w:trPr/>
        <w:tc>
          <w:tcPr>
            <w:tcW w:w="17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color="auto" w:fill="F1F5F9" w:val="clear"/>
            <w:vAlign w:val="center"/>
          </w:tcPr>
          <w:p>
            <w:pPr>
              <w:pStyle w:val="normal1"/>
              <w:rPr>
                <w:b/>
                <w:bCs/>
                <w:color w:val="0F172A"/>
              </w:rPr>
            </w:pPr>
            <w:r>
              <w:rPr>
                <w:b/>
                <w:bCs/>
                <w:color w:val="0F172A"/>
              </w:rPr>
              <w:t>Package</w:t>
            </w:r>
          </w:p>
        </w:tc>
        <w:tc>
          <w:tcPr>
            <w:tcW w:w="18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color="auto" w:fill="F1F5F9" w:val="clear"/>
            <w:vAlign w:val="center"/>
          </w:tcPr>
          <w:p>
            <w:pPr>
              <w:pStyle w:val="normal1"/>
              <w:rPr>
                <w:b/>
                <w:bCs/>
                <w:color w:val="0F172A"/>
              </w:rPr>
            </w:pPr>
            <w:r>
              <w:rPr>
                <w:b/>
                <w:bCs/>
                <w:color w:val="0F172A"/>
              </w:rPr>
              <w:t>Credits</w:t>
            </w:r>
          </w:p>
        </w:tc>
        <w:tc>
          <w:tcPr>
            <w:tcW w:w="18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color="auto" w:fill="F1F5F9" w:val="clear"/>
            <w:vAlign w:val="center"/>
          </w:tcPr>
          <w:p>
            <w:pPr>
              <w:pStyle w:val="normal1"/>
              <w:rPr>
                <w:b/>
                <w:bCs/>
                <w:color w:val="0F172A"/>
              </w:rPr>
            </w:pPr>
            <w:r>
              <w:rPr>
                <w:b/>
                <w:bCs/>
                <w:color w:val="0F172A"/>
              </w:rPr>
              <w:t>Price</w:t>
            </w:r>
          </w:p>
        </w:tc>
        <w:tc>
          <w:tcPr>
            <w:tcW w:w="3626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shd w:color="auto" w:fill="F1F5F9" w:val="clear"/>
            <w:vAlign w:val="center"/>
          </w:tcPr>
          <w:p>
            <w:pPr>
              <w:pStyle w:val="normal1"/>
              <w:rPr>
                <w:b/>
                <w:bCs/>
                <w:color w:val="0F172A"/>
              </w:rPr>
            </w:pPr>
            <w:r>
              <w:rPr>
                <w:b/>
                <w:bCs/>
                <w:color w:val="0F172A"/>
              </w:rPr>
              <w:t>Strategic Advantage</w:t>
            </w:r>
          </w:p>
        </w:tc>
      </w:tr>
      <w:tr>
        <w:trPr/>
        <w:tc>
          <w:tcPr>
            <w:tcW w:w="17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Starter</w:t>
            </w:r>
          </w:p>
        </w:tc>
        <w:tc>
          <w:tcPr>
            <w:tcW w:w="18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5 Credits</w:t>
            </w:r>
          </w:p>
        </w:tc>
        <w:tc>
          <w:tcPr>
            <w:tcW w:w="18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$5.00</w:t>
            </w:r>
          </w:p>
        </w:tc>
        <w:tc>
          <w:tcPr>
            <w:tcW w:w="3626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Low-risk pilot testing</w:t>
            </w:r>
          </w:p>
        </w:tc>
      </w:tr>
      <w:tr>
        <w:trPr/>
        <w:tc>
          <w:tcPr>
            <w:tcW w:w="17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Basic</w:t>
            </w:r>
          </w:p>
        </w:tc>
        <w:tc>
          <w:tcPr>
            <w:tcW w:w="18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10 Credits</w:t>
            </w:r>
          </w:p>
        </w:tc>
        <w:tc>
          <w:tcPr>
            <w:tcW w:w="18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$9.00</w:t>
            </w:r>
          </w:p>
        </w:tc>
        <w:tc>
          <w:tcPr>
            <w:tcW w:w="3626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10% TCO Reduction</w:t>
            </w:r>
          </w:p>
        </w:tc>
      </w:tr>
      <w:tr>
        <w:trPr/>
        <w:tc>
          <w:tcPr>
            <w:tcW w:w="17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Popular</w:t>
            </w:r>
          </w:p>
        </w:tc>
        <w:tc>
          <w:tcPr>
            <w:tcW w:w="18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25 Credits</w:t>
            </w:r>
          </w:p>
        </w:tc>
        <w:tc>
          <w:tcPr>
            <w:tcW w:w="18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$20.00</w:t>
            </w:r>
          </w:p>
        </w:tc>
        <w:tc>
          <w:tcPr>
            <w:tcW w:w="3626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20% TCO Reduction</w:t>
            </w:r>
          </w:p>
        </w:tc>
      </w:tr>
      <w:tr>
        <w:trPr/>
        <w:tc>
          <w:tcPr>
            <w:tcW w:w="17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Value</w:t>
            </w:r>
          </w:p>
        </w:tc>
        <w:tc>
          <w:tcPr>
            <w:tcW w:w="18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50 Credits</w:t>
            </w:r>
          </w:p>
        </w:tc>
        <w:tc>
          <w:tcPr>
            <w:tcW w:w="18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$35.00</w:t>
            </w:r>
          </w:p>
        </w:tc>
        <w:tc>
          <w:tcPr>
            <w:tcW w:w="3626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30% TCO Reduction</w:t>
            </w:r>
          </w:p>
        </w:tc>
      </w:tr>
      <w:tr>
        <w:trPr/>
        <w:tc>
          <w:tcPr>
            <w:tcW w:w="1799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Pro</w:t>
            </w:r>
          </w:p>
        </w:tc>
        <w:tc>
          <w:tcPr>
            <w:tcW w:w="1800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100 Credits</w:t>
            </w:r>
          </w:p>
        </w:tc>
        <w:tc>
          <w:tcPr>
            <w:tcW w:w="1801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$60.00</w:t>
            </w:r>
          </w:p>
        </w:tc>
        <w:tc>
          <w:tcPr>
            <w:tcW w:w="3626" w:type="dxa"/>
            <w:tcBorders>
              <w:top w:val="single" w:sz="4" w:space="0" w:color="999999"/>
              <w:start w:val="single" w:sz="4" w:space="0" w:color="999999"/>
              <w:bottom w:val="single" w:sz="4" w:space="0" w:color="999999"/>
              <w:end w:val="single" w:sz="4" w:space="0" w:color="999999"/>
            </w:tcBorders>
            <w:vAlign w:val="center"/>
          </w:tcPr>
          <w:p>
            <w:pPr>
              <w:pStyle w:val="normal1"/>
              <w:rPr/>
            </w:pPr>
            <w:r>
              <w:rPr/>
              <w:t>40% TCO Reduction</w:t>
            </w:r>
          </w:p>
        </w:tc>
      </w:tr>
    </w:tbl>
    <w:p>
      <w:pPr>
        <w:pStyle w:val="normal1"/>
        <w:rPr/>
      </w:pPr>
      <w:r>
        <w:rPr/>
      </w:r>
    </w:p>
    <w:p>
      <w:pPr>
        <w:pStyle w:val="normal1"/>
        <w:rPr>
          <w:b/>
          <w:bCs/>
          <w:color w:val="0F172A"/>
        </w:rPr>
      </w:pPr>
      <w:r>
        <w:rPr>
          <w:b/>
          <w:bCs/>
          <w:color w:val="0F172A"/>
        </w:rPr>
      </w:r>
    </w:p>
    <w:p>
      <w:pPr>
        <w:pStyle w:val="normal1"/>
        <w:rPr/>
      </w:pPr>
      <w:r>
        <w:rPr>
          <w:b/>
          <w:bCs/>
        </w:rPr>
        <w:t>Global Payment Flexibility:</w:t>
      </w:r>
      <w:r>
        <w:rPr/>
        <w:t xml:space="preserve">  To support international operations, the platform accepts secure payments via PayPal and Bitcoin Lightning Network, catering to a globalized workforce and diverse financial preferences.</w:t>
      </w:r>
    </w:p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tbl>
      <w:tblPr>
        <w:tblW w:w="9026" w:type="dxa"/>
        <w:jc w:val="start"/>
        <w:tblInd w:w="0" w:type="dxa"/>
        <w:tblLayout w:type="fixed"/>
        <w:tblCellMar>
          <w:top w:w="110" w:type="dxa"/>
          <w:start w:w="160" w:type="dxa"/>
          <w:bottom w:w="110" w:type="dxa"/>
          <w:end w:w="108" w:type="dxa"/>
        </w:tblCellMar>
        <w:tblLook w:val="0000"/>
      </w:tblPr>
      <w:tblGrid>
        <w:gridCol w:w="9026"/>
      </w:tblGrid>
      <w:tr>
        <w:trPr/>
        <w:tc>
          <w:tcPr>
            <w:tcW w:w="9026" w:type="dxa"/>
            <w:tcBorders>
              <w:bottom w:val="single" w:sz="16" w:space="0" w:color="2563EB"/>
            </w:tcBorders>
            <w:shd w:color="auto" w:fill="F1F5F9" w:val="clear"/>
            <w:vAlign w:val="center"/>
          </w:tcPr>
          <w:p>
            <w:pPr>
              <w:pStyle w:val="normal1"/>
              <w:spacing w:before="0" w:after="0"/>
              <w:jc w:val="start"/>
              <w:rPr/>
            </w:pPr>
            <w:r>
              <w:rPr>
                <w:b/>
                <w:bCs/>
                <w:color w:val="0F172A"/>
                <w:sz w:val="24"/>
                <w:szCs w:val="24"/>
              </w:rPr>
              <w:t>7. Implementation Workflow</w:t>
            </w:r>
          </w:p>
        </w:tc>
      </w:tr>
    </w:tbl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p>
      <w:pPr>
        <w:pStyle w:val="normal1"/>
        <w:rPr/>
      </w:pPr>
      <w:r>
        <w:rPr/>
        <w:t>Launching a tour is a streamlined, four-step process designed for rapid operational deployment:</w:t>
      </w:r>
    </w:p>
    <w:p>
      <w:pPr>
        <w:pStyle w:val="normal1"/>
        <w:numPr>
          <w:ilvl w:val="0"/>
          <w:numId w:val="5"/>
        </w:numPr>
        <w:ind w:hanging="360" w:start="720"/>
        <w:rPr>
          <w:u w:val="none"/>
        </w:rPr>
      </w:pPr>
      <w:r>
        <w:rPr>
          <w:b/>
          <w:bCs/>
        </w:rPr>
        <w:t>Credit Acquisition:</w:t>
      </w:r>
      <w:r>
        <w:rPr/>
        <w:t xml:space="preserve">  Purchase the credit tier that aligns with your projected tour volume to maximize savings.</w:t>
      </w:r>
    </w:p>
    <w:p>
      <w:pPr>
        <w:pStyle w:val="normal1"/>
        <w:numPr>
          <w:ilvl w:val="0"/>
          <w:numId w:val="5"/>
        </w:numPr>
        <w:ind w:hanging="360" w:start="720"/>
        <w:rPr>
          <w:u w:val="none"/>
        </w:rPr>
      </w:pPr>
      <w:r>
        <w:rPr>
          <w:b/>
          <w:bCs/>
        </w:rPr>
        <w:t>Session Initialization:</w:t>
      </w:r>
      <w:r>
        <w:rPr/>
        <w:t xml:space="preserve">   </w:t>
      </w:r>
      <w:r>
        <w:rPr>
          <w:b/>
          <w:bCs/>
        </w:rPr>
        <w:t>Sign in with Google</w:t>
      </w:r>
      <w:r>
        <w:rPr/>
        <w:t xml:space="preserve">  to authenticate and start a live tour room, ensuring secure and standardized access control.</w:t>
      </w:r>
    </w:p>
    <w:p>
      <w:pPr>
        <w:pStyle w:val="normal1"/>
        <w:numPr>
          <w:ilvl w:val="0"/>
          <w:numId w:val="5"/>
        </w:numPr>
        <w:ind w:hanging="360" w:start="720"/>
        <w:rPr>
          <w:u w:val="none"/>
        </w:rPr>
      </w:pPr>
      <w:r>
        <w:rPr>
          <w:b/>
          <w:bCs/>
        </w:rPr>
        <w:t>Guest Onboarding:</w:t>
      </w:r>
      <w:r>
        <w:rPr/>
        <w:t xml:space="preserve">  Display the automatically generated QR code or share the unique link with the tour group.</w:t>
      </w:r>
    </w:p>
    <w:p>
      <w:pPr>
        <w:pStyle w:val="normal1"/>
        <w:numPr>
          <w:ilvl w:val="0"/>
          <w:numId w:val="5"/>
        </w:numPr>
        <w:ind w:hanging="360" w:start="720"/>
        <w:rPr>
          <w:u w:val="none"/>
        </w:rPr>
      </w:pPr>
      <w:r>
        <w:rPr>
          <w:b/>
          <w:bCs/>
        </w:rPr>
        <w:t>Broadcasting:</w:t>
      </w:r>
      <w:r>
        <w:rPr/>
        <w:t xml:space="preserve">  Conduct the tour normally via the smartphone microphone while guests receive the high-fidelity live stream.</w:t>
      </w:r>
    </w:p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tbl>
      <w:tblPr>
        <w:tblW w:w="9026" w:type="dxa"/>
        <w:jc w:val="start"/>
        <w:tblInd w:w="0" w:type="dxa"/>
        <w:tblLayout w:type="fixed"/>
        <w:tblCellMar>
          <w:top w:w="110" w:type="dxa"/>
          <w:start w:w="160" w:type="dxa"/>
          <w:bottom w:w="110" w:type="dxa"/>
          <w:end w:w="108" w:type="dxa"/>
        </w:tblCellMar>
        <w:tblLook w:val="0000"/>
      </w:tblPr>
      <w:tblGrid>
        <w:gridCol w:w="9026"/>
      </w:tblGrid>
      <w:tr>
        <w:trPr/>
        <w:tc>
          <w:tcPr>
            <w:tcW w:w="9026" w:type="dxa"/>
            <w:tcBorders>
              <w:bottom w:val="single" w:sz="16" w:space="0" w:color="2563EB"/>
            </w:tcBorders>
            <w:shd w:color="auto" w:fill="F1F5F9" w:val="clear"/>
            <w:vAlign w:val="center"/>
          </w:tcPr>
          <w:p>
            <w:pPr>
              <w:pStyle w:val="normal1"/>
              <w:spacing w:before="0" w:after="0"/>
              <w:jc w:val="start"/>
              <w:rPr/>
            </w:pPr>
            <w:r>
              <w:rPr>
                <w:b/>
                <w:bCs/>
                <w:color w:val="0F172A"/>
                <w:sz w:val="24"/>
                <w:szCs w:val="24"/>
              </w:rPr>
              <w:t>8. Frequently Asked Questions (Executive Summary)</w:t>
            </w:r>
          </w:p>
        </w:tc>
      </w:tr>
    </w:tbl>
    <w:p>
      <w:pPr>
        <w:pStyle w:val="normal1"/>
        <w:spacing w:before="0" w:after="0"/>
        <w:rPr>
          <w:sz w:val="8"/>
        </w:rPr>
      </w:pPr>
      <w:r>
        <w:rPr>
          <w:sz w:val="8"/>
        </w:rPr>
      </w:r>
    </w:p>
    <w:p>
      <w:pPr>
        <w:pStyle w:val="normal1"/>
        <w:numPr>
          <w:ilvl w:val="0"/>
          <w:numId w:val="3"/>
        </w:numPr>
        <w:ind w:hanging="360" w:start="720"/>
        <w:rPr>
          <w:u w:val="none"/>
        </w:rPr>
      </w:pPr>
      <w:r>
        <w:rPr>
          <w:b/>
          <w:bCs/>
        </w:rPr>
        <w:t>Risk Mitigation (Hardware &amp; Software):</w:t>
      </w:r>
      <w:r>
        <w:rPr/>
        <w:t xml:space="preserve">  By utilizing the guest’s browser and phone, the risk of equipment theft, loss, and sanitization liability is eliminated. There are no app-store updates to manage or technical support tickets for guest app failures.</w:t>
      </w:r>
    </w:p>
    <w:p>
      <w:pPr>
        <w:pStyle w:val="normal1"/>
        <w:numPr>
          <w:ilvl w:val="0"/>
          <w:numId w:val="3"/>
        </w:numPr>
        <w:ind w:hanging="360" w:start="720"/>
        <w:rPr>
          <w:u w:val="none"/>
        </w:rPr>
      </w:pPr>
      <w:r>
        <w:rPr>
          <w:b/>
          <w:bCs/>
        </w:rPr>
        <w:t>Infrastructure Efficiency:</w:t>
      </w:r>
      <w:r>
        <w:rPr/>
        <w:t xml:space="preserve">  The system requires zero proprietary hardware. Any modern smartphone with a data connection serves as a professional-grade broadcasting and receiving station.</w:t>
      </w:r>
    </w:p>
    <w:p>
      <w:pPr>
        <w:pStyle w:val="normal1"/>
        <w:numPr>
          <w:ilvl w:val="0"/>
          <w:numId w:val="3"/>
        </w:numPr>
        <w:ind w:hanging="360" w:start="720"/>
        <w:rPr>
          <w:u w:val="none"/>
        </w:rPr>
      </w:pPr>
      <w:r>
        <w:rPr>
          <w:b/>
          <w:bCs/>
        </w:rPr>
        <w:t>Budget Preservation:</w:t>
      </w:r>
      <w:r>
        <w:rPr/>
        <w:t xml:space="preserve">  Because unused credits never expire, operators can pre-purchase volume at a discount without the risk of "losing" the investment during off-peak seasons. This ensures a predictable and efficient use of the operational budget.</w:t>
      </w:r>
    </w:p>
    <w:p>
      <w:pPr>
        <w:pStyle w:val="normal1"/>
        <w:rPr/>
      </w:pPr>
      <w:r>
        <w:rPr/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440" w:right="1440" w:gutter="0" w:header="0" w:top="1440" w:footer="72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pBdr>
        <w:top w:val="single" w:sz="4" w:space="4" w:color="CBD5E1"/>
      </w:pBdr>
      <w:tabs>
        <w:tab w:val="clear" w:pos="720"/>
        <w:tab w:val="right" w:pos="9026" w:leader="none"/>
      </w:tabs>
      <w:spacing w:before="120" w:after="0"/>
      <w:rPr/>
    </w:pPr>
    <w:r>
      <w:rPr>
        <w:i/>
        <w:iCs/>
        <w:color w:val="94A3B8"/>
        <w:sz w:val="17"/>
        <w:szCs w:val="17"/>
      </w:rPr>
      <w:t>TourGuideLite · Executive Report</w:t>
      <w:tab/>
      <w:t xml:space="preserve">Page </w:t>
    </w:r>
    <w:r>
      <w:rPr>
        <w:i/>
        <w:iCs/>
        <w:color w:val="94A3B8"/>
        <w:sz w:val="17"/>
        <w:szCs w:val="17"/>
      </w:rPr>
      <w:fldChar w:fldCharType="begin"/>
    </w:r>
    <w:r>
      <w:rPr>
        <w:i/>
        <w:iCs/>
        <w:color w:val="94A3B8"/>
        <w:sz w:val="17"/>
        <w:szCs w:val="17"/>
      </w:rPr>
      <w:instrText xml:space="preserve"> PAGE </w:instrText>
    </w:r>
    <w:r>
      <w:rPr>
        <w:i/>
        <w:iCs/>
        <w:color w:val="94A3B8"/>
        <w:sz w:val="17"/>
        <w:szCs w:val="17"/>
      </w:rPr>
      <w:fldChar w:fldCharType="separate"/>
    </w:r>
    <w:r>
      <w:rPr>
        <w:i/>
        <w:iCs/>
        <w:color w:val="94A3B8"/>
        <w:sz w:val="17"/>
        <w:szCs w:val="17"/>
      </w:rPr>
      <w:t>3</w:t>
    </w:r>
    <w:r>
      <w:rPr>
        <w:i/>
        <w:iCs/>
        <w:color w:val="94A3B8"/>
        <w:sz w:val="17"/>
        <w:szCs w:val="17"/>
      </w:rPr>
      <w:fldChar w:fldCharType="end"/>
    </w:r>
    <w:r>
      <w:rPr>
        <w:i/>
        <w:iCs/>
        <w:color w:val="94A3B8"/>
        <w:sz w:val="17"/>
        <w:szCs w:val="17"/>
      </w:rPr>
      <w:t xml:space="preserve"> of </w:t>
    </w:r>
    <w:r>
      <w:rPr>
        <w:i/>
        <w:iCs/>
        <w:color w:val="94A3B8"/>
        <w:sz w:val="17"/>
        <w:szCs w:val="17"/>
      </w:rPr>
      <w:fldChar w:fldCharType="begin"/>
    </w:r>
    <w:r>
      <w:rPr>
        <w:i/>
        <w:iCs/>
        <w:color w:val="94A3B8"/>
        <w:sz w:val="17"/>
        <w:szCs w:val="17"/>
      </w:rPr>
      <w:instrText xml:space="preserve"> NUMPAGES </w:instrText>
    </w:r>
    <w:r>
      <w:rPr>
        <w:i/>
        <w:iCs/>
        <w:color w:val="94A3B8"/>
        <w:sz w:val="17"/>
        <w:szCs w:val="17"/>
      </w:rPr>
      <w:fldChar w:fldCharType="separate"/>
    </w:r>
    <w:r>
      <w:rPr>
        <w:i/>
        <w:iCs/>
        <w:color w:val="94A3B8"/>
        <w:sz w:val="17"/>
        <w:szCs w:val="17"/>
      </w:rPr>
      <w:t>3</w:t>
    </w:r>
    <w:r>
      <w:rPr>
        <w:i/>
        <w:iCs/>
        <w:color w:val="94A3B8"/>
        <w:sz w:val="17"/>
        <w:szCs w:val="17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pBdr>
        <w:top w:val="single" w:sz="4" w:space="4" w:color="CBD5E1"/>
      </w:pBdr>
      <w:tabs>
        <w:tab w:val="clear" w:pos="720"/>
        <w:tab w:val="right" w:pos="9026" w:leader="none"/>
      </w:tabs>
      <w:spacing w:before="120" w:after="0"/>
      <w:rPr/>
    </w:pPr>
    <w:r>
      <w:rPr>
        <w:i/>
        <w:iCs/>
        <w:color w:val="94A3B8"/>
        <w:sz w:val="17"/>
        <w:szCs w:val="17"/>
      </w:rPr>
      <w:t>TourGuideLite · Executive Report</w:t>
      <w:tab/>
      <w:t xml:space="preserve">Page </w:t>
    </w:r>
    <w:r>
      <w:rPr>
        <w:i/>
        <w:iCs/>
        <w:color w:val="94A3B8"/>
        <w:sz w:val="17"/>
        <w:szCs w:val="17"/>
      </w:rPr>
      <w:fldChar w:fldCharType="begin"/>
    </w:r>
    <w:r>
      <w:rPr>
        <w:i/>
        <w:iCs/>
        <w:color w:val="94A3B8"/>
        <w:sz w:val="17"/>
        <w:szCs w:val="17"/>
      </w:rPr>
      <w:instrText xml:space="preserve"> PAGE </w:instrText>
    </w:r>
    <w:r>
      <w:rPr>
        <w:i/>
        <w:iCs/>
        <w:color w:val="94A3B8"/>
        <w:sz w:val="17"/>
        <w:szCs w:val="17"/>
      </w:rPr>
      <w:fldChar w:fldCharType="separate"/>
    </w:r>
    <w:r>
      <w:rPr>
        <w:i/>
        <w:iCs/>
        <w:color w:val="94A3B8"/>
        <w:sz w:val="17"/>
        <w:szCs w:val="17"/>
      </w:rPr>
      <w:t>3</w:t>
    </w:r>
    <w:r>
      <w:rPr>
        <w:i/>
        <w:iCs/>
        <w:color w:val="94A3B8"/>
        <w:sz w:val="17"/>
        <w:szCs w:val="17"/>
      </w:rPr>
      <w:fldChar w:fldCharType="end"/>
    </w:r>
    <w:r>
      <w:rPr>
        <w:i/>
        <w:iCs/>
        <w:color w:val="94A3B8"/>
        <w:sz w:val="17"/>
        <w:szCs w:val="17"/>
      </w:rPr>
      <w:t xml:space="preserve"> of </w:t>
    </w:r>
    <w:r>
      <w:rPr>
        <w:i/>
        <w:iCs/>
        <w:color w:val="94A3B8"/>
        <w:sz w:val="17"/>
        <w:szCs w:val="17"/>
      </w:rPr>
      <w:fldChar w:fldCharType="begin"/>
    </w:r>
    <w:r>
      <w:rPr>
        <w:i/>
        <w:iCs/>
        <w:color w:val="94A3B8"/>
        <w:sz w:val="17"/>
        <w:szCs w:val="17"/>
      </w:rPr>
      <w:instrText xml:space="preserve"> NUMPAGES </w:instrText>
    </w:r>
    <w:r>
      <w:rPr>
        <w:i/>
        <w:iCs/>
        <w:color w:val="94A3B8"/>
        <w:sz w:val="17"/>
        <w:szCs w:val="17"/>
      </w:rPr>
      <w:fldChar w:fldCharType="separate"/>
    </w:r>
    <w:r>
      <w:rPr>
        <w:i/>
        <w:iCs/>
        <w:color w:val="94A3B8"/>
        <w:sz w:val="17"/>
        <w:szCs w:val="17"/>
      </w:rPr>
      <w:t>3</w:t>
    </w:r>
    <w:r>
      <w:rPr>
        <w:i/>
        <w:iCs/>
        <w:color w:val="94A3B8"/>
        <w:sz w:val="17"/>
        <w:szCs w:val="17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b/>
        <w:color w:val="2563EB"/>
        <w:u w:val="none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start"/>
      <w:pPr>
        <w:tabs>
          <w:tab w:val="num" w:pos="0"/>
        </w:tabs>
        <w:ind w:star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b/>
        <w:color w:val="2563EB"/>
        <w:u w:val="none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start"/>
      <w:pPr>
        <w:tabs>
          <w:tab w:val="num" w:pos="0"/>
        </w:tabs>
        <w:ind w:star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abstractNum w:abstractNumId="3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b/>
        <w:color w:val="2563EB"/>
        <w:u w:val="none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start"/>
      <w:pPr>
        <w:tabs>
          <w:tab w:val="num" w:pos="0"/>
        </w:tabs>
        <w:ind w:star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abstractNum w:abstractNumId="4">
    <w:lvl w:ilvl="0">
      <w:start w:val="1"/>
      <w:numFmt w:val="decimal"/>
      <w:lvlText w:val="%1."/>
      <w:lvlJc w:val="end"/>
      <w:pPr>
        <w:tabs>
          <w:tab w:val="num" w:pos="0"/>
        </w:tabs>
        <w:ind w:start="720" w:hanging="360"/>
      </w:pPr>
      <w:rPr>
        <w:b/>
        <w:color w:val="2563EB"/>
        <w:u w:val="none"/>
      </w:rPr>
    </w:lvl>
    <w:lvl w:ilvl="1">
      <w:start w:val="1"/>
      <w:numFmt w:val="decimal"/>
      <w:lvlText w:val="%1.%2."/>
      <w:lvlJc w:val="end"/>
      <w:pPr>
        <w:tabs>
          <w:tab w:val="num" w:pos="0"/>
        </w:tabs>
        <w:ind w:start="1440" w:hanging="360"/>
      </w:pPr>
      <w:rPr>
        <w:u w:val="none"/>
      </w:rPr>
    </w:lvl>
    <w:lvl w:ilvl="2">
      <w:start w:val="1"/>
      <w:numFmt w:val="decimal"/>
      <w:lvlText w:val="%1.%2.%3."/>
      <w:lvlJc w:val="end"/>
      <w:pPr>
        <w:tabs>
          <w:tab w:val="num" w:pos="0"/>
        </w:tabs>
        <w:ind w:start="2160" w:hanging="360"/>
      </w:pPr>
      <w:rPr>
        <w:u w:val="none"/>
      </w:rPr>
    </w:lvl>
    <w:lvl w:ilvl="3">
      <w:start w:val="1"/>
      <w:numFmt w:val="decimal"/>
      <w:lvlText w:val="%1.%2.%3.%4."/>
      <w:lvlJc w:val="end"/>
      <w:pPr>
        <w:tabs>
          <w:tab w:val="num" w:pos="0"/>
        </w:tabs>
        <w:ind w:start="2880" w:hanging="360"/>
      </w:pPr>
      <w:rPr>
        <w:u w:val="none"/>
      </w:rPr>
    </w:lvl>
    <w:lvl w:ilvl="4">
      <w:start w:val="1"/>
      <w:numFmt w:val="decimal"/>
      <w:lvlText w:val="%1.%2.%3.%4.%5."/>
      <w:lvlJc w:val="end"/>
      <w:pPr>
        <w:tabs>
          <w:tab w:val="num" w:pos="0"/>
        </w:tabs>
        <w:ind w:start="3600" w:hanging="360"/>
      </w:pPr>
      <w:rPr>
        <w:u w:val="none"/>
      </w:rPr>
    </w:lvl>
    <w:lvl w:ilvl="5">
      <w:start w:val="1"/>
      <w:numFmt w:val="decimal"/>
      <w:lvlText w:val="%1.%2.%3.%4.%5.%6."/>
      <w:lvlJc w:val="end"/>
      <w:pPr>
        <w:tabs>
          <w:tab w:val="num" w:pos="0"/>
        </w:tabs>
        <w:ind w:start="4320" w:hanging="360"/>
      </w:pPr>
      <w:rPr>
        <w:u w:val="none"/>
      </w:rPr>
    </w:lvl>
    <w:lvl w:ilvl="6">
      <w:start w:val="1"/>
      <w:numFmt w:val="decimal"/>
      <w:lvlText w:val="%1.%2.%3.%4.%5.%6.%7."/>
      <w:lvlJc w:val="end"/>
      <w:pPr>
        <w:tabs>
          <w:tab w:val="num" w:pos="0"/>
        </w:tabs>
        <w:ind w:start="5040" w:hanging="360"/>
      </w:pPr>
      <w:rPr>
        <w:u w:val="none"/>
      </w:rPr>
    </w:lvl>
    <w:lvl w:ilvl="7">
      <w:start w:val="1"/>
      <w:numFmt w:val="decimal"/>
      <w:lvlText w:val="%1.%2.%3.%4.%5.%6.%7.%8."/>
      <w:lvlJc w:val="end"/>
      <w:pPr>
        <w:tabs>
          <w:tab w:val="num" w:pos="0"/>
        </w:tabs>
        <w:ind w:start="5760" w:hanging="360"/>
      </w:pPr>
      <w:rPr>
        <w:u w:val="none"/>
      </w:rPr>
    </w:lvl>
    <w:lvl w:ilvl="8">
      <w:start w:val="1"/>
      <w:numFmt w:val="decimal"/>
      <w:lvlText w:val="%1.%2.%3.%4.%5.%6.%7.%8.%9."/>
      <w:lvlJc w:val="end"/>
      <w:pPr>
        <w:tabs>
          <w:tab w:val="num" w:pos="0"/>
        </w:tabs>
        <w:ind w:star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end"/>
      <w:pPr>
        <w:tabs>
          <w:tab w:val="num" w:pos="0"/>
        </w:tabs>
        <w:ind w:start="720" w:hanging="360"/>
      </w:pPr>
      <w:rPr>
        <w:b/>
        <w:color w:val="2563EB"/>
        <w:u w:val="none"/>
      </w:rPr>
    </w:lvl>
    <w:lvl w:ilvl="1">
      <w:start w:val="1"/>
      <w:numFmt w:val="decimal"/>
      <w:lvlText w:val="%1.%2."/>
      <w:lvlJc w:val="end"/>
      <w:pPr>
        <w:tabs>
          <w:tab w:val="num" w:pos="0"/>
        </w:tabs>
        <w:ind w:start="1440" w:hanging="360"/>
      </w:pPr>
      <w:rPr>
        <w:u w:val="none"/>
      </w:rPr>
    </w:lvl>
    <w:lvl w:ilvl="2">
      <w:start w:val="1"/>
      <w:numFmt w:val="decimal"/>
      <w:lvlText w:val="%1.%2.%3."/>
      <w:lvlJc w:val="end"/>
      <w:pPr>
        <w:tabs>
          <w:tab w:val="num" w:pos="0"/>
        </w:tabs>
        <w:ind w:start="2160" w:hanging="360"/>
      </w:pPr>
      <w:rPr>
        <w:u w:val="none"/>
      </w:rPr>
    </w:lvl>
    <w:lvl w:ilvl="3">
      <w:start w:val="1"/>
      <w:numFmt w:val="decimal"/>
      <w:lvlText w:val="%1.%2.%3.%4."/>
      <w:lvlJc w:val="end"/>
      <w:pPr>
        <w:tabs>
          <w:tab w:val="num" w:pos="0"/>
        </w:tabs>
        <w:ind w:start="2880" w:hanging="360"/>
      </w:pPr>
      <w:rPr>
        <w:u w:val="none"/>
      </w:rPr>
    </w:lvl>
    <w:lvl w:ilvl="4">
      <w:start w:val="1"/>
      <w:numFmt w:val="decimal"/>
      <w:lvlText w:val="%1.%2.%3.%4.%5."/>
      <w:lvlJc w:val="end"/>
      <w:pPr>
        <w:tabs>
          <w:tab w:val="num" w:pos="0"/>
        </w:tabs>
        <w:ind w:start="3600" w:hanging="360"/>
      </w:pPr>
      <w:rPr>
        <w:u w:val="none"/>
      </w:rPr>
    </w:lvl>
    <w:lvl w:ilvl="5">
      <w:start w:val="1"/>
      <w:numFmt w:val="decimal"/>
      <w:lvlText w:val="%1.%2.%3.%4.%5.%6."/>
      <w:lvlJc w:val="end"/>
      <w:pPr>
        <w:tabs>
          <w:tab w:val="num" w:pos="0"/>
        </w:tabs>
        <w:ind w:start="4320" w:hanging="360"/>
      </w:pPr>
      <w:rPr>
        <w:u w:val="none"/>
      </w:rPr>
    </w:lvl>
    <w:lvl w:ilvl="6">
      <w:start w:val="1"/>
      <w:numFmt w:val="decimal"/>
      <w:lvlText w:val="%1.%2.%3.%4.%5.%6.%7."/>
      <w:lvlJc w:val="end"/>
      <w:pPr>
        <w:tabs>
          <w:tab w:val="num" w:pos="0"/>
        </w:tabs>
        <w:ind w:start="5040" w:hanging="360"/>
      </w:pPr>
      <w:rPr>
        <w:u w:val="none"/>
      </w:rPr>
    </w:lvl>
    <w:lvl w:ilvl="7">
      <w:start w:val="1"/>
      <w:numFmt w:val="decimal"/>
      <w:lvlText w:val="%1.%2.%3.%4.%5.%6.%7.%8."/>
      <w:lvlJc w:val="end"/>
      <w:pPr>
        <w:tabs>
          <w:tab w:val="num" w:pos="0"/>
        </w:tabs>
        <w:ind w:start="5760" w:hanging="360"/>
      </w:pPr>
      <w:rPr>
        <w:u w:val="none"/>
      </w:rPr>
    </w:lvl>
    <w:lvl w:ilvl="8">
      <w:start w:val="1"/>
      <w:numFmt w:val="decimal"/>
      <w:lvlText w:val="%1.%2.%3.%4.%5.%6.%7.%8.%9."/>
      <w:lvlJc w:val="end"/>
      <w:pPr>
        <w:tabs>
          <w:tab w:val="num" w:pos="0"/>
        </w:tabs>
        <w:ind w:start="6480" w:hanging="360"/>
      </w:pPr>
      <w:rPr>
        <w:u w:val="none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color w:val="334155"/>
        <w:sz w:val="22"/>
        <w:szCs w:val="22"/>
        <w:lang w:val="ca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both"/>
    </w:pPr>
    <w:rPr>
      <w:rFonts w:ascii="Arial" w:hAnsi="Arial" w:eastAsia="Arial" w:cs="Arial"/>
      <w:color w:val="334155"/>
      <w:kern w:val="0"/>
      <w:sz w:val="22"/>
      <w:szCs w:val="22"/>
      <w:lang w:val="ca-E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both"/>
    </w:pPr>
    <w:rPr>
      <w:rFonts w:ascii="Arial" w:hAnsi="Arial" w:eastAsia="Arial" w:cs="Arial"/>
      <w:color w:val="334155"/>
      <w:kern w:val="0"/>
      <w:sz w:val="22"/>
      <w:szCs w:val="22"/>
      <w:lang w:val="ca-E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paragraph" w:styleId="Capaleraipeudepgina">
    <w:name w:val="Capçalera i peu de pàgina"/>
    <w:basedOn w:val="Normal"/>
    <w:qFormat/>
    <w:pPr/>
    <w:rPr/>
  </w:style>
  <w:style w:type="paragraph" w:styleId="Footer">
    <w:name w:val="footer"/>
    <w:basedOn w:val="Capaleraipeudepgina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LibreOffice/26.2.5.2$Linux_X86_64 LibreOffice_project/6d2b0d33fb0f5da53a12f98bed3e9973e56ff1f0</Application>
  <AppVersion>15.0000</AppVersion>
  <Pages>3</Pages>
  <Words>840</Words>
  <Characters>5356</Characters>
  <CharactersWithSpaces>6118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ca-ES</dc:language>
  <cp:lastModifiedBy/>
  <dcterms:modified xsi:type="dcterms:W3CDTF">2026-09-13T12:47:25Z</dcterms:modified>
  <cp:revision>1</cp:revision>
  <dc:subject/>
  <dc:title/>
</cp:coreProperties>
</file>